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1BC" w:rsidRPr="002510A4" w:rsidRDefault="002510A4">
      <w:pPr>
        <w:pStyle w:val="a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ru-RU"/>
        </w:rPr>
        <w:drawing>
          <wp:inline distT="0" distB="0" distL="0" distR="0">
            <wp:extent cx="7315200" cy="9105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91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01BC" w:rsidRDefault="003601BC">
      <w:pPr>
        <w:pStyle w:val="a3"/>
        <w:rPr>
          <w:b/>
          <w:i/>
          <w:sz w:val="24"/>
        </w:rPr>
      </w:pPr>
    </w:p>
    <w:p w:rsidR="003601BC" w:rsidRDefault="003601BC">
      <w:pPr>
        <w:pStyle w:val="a3"/>
        <w:rPr>
          <w:b/>
          <w:i/>
          <w:sz w:val="24"/>
        </w:rPr>
      </w:pPr>
    </w:p>
    <w:p w:rsidR="003601BC" w:rsidRDefault="003601BC">
      <w:pPr>
        <w:pStyle w:val="a3"/>
        <w:spacing w:before="3"/>
        <w:rPr>
          <w:b/>
          <w:i/>
          <w:sz w:val="25"/>
        </w:rPr>
      </w:pPr>
    </w:p>
    <w:p w:rsidR="003601BC" w:rsidRDefault="002510A4">
      <w:pPr>
        <w:pStyle w:val="a4"/>
      </w:pPr>
      <w:r>
        <w:t>Коммерческое предложение</w:t>
      </w:r>
    </w:p>
    <w:p w:rsidR="003601BC" w:rsidRDefault="002510A4">
      <w:pPr>
        <w:spacing w:before="256"/>
        <w:ind w:left="2600" w:right="2141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На поставку </w:t>
      </w:r>
      <w:r>
        <w:rPr>
          <w:rFonts w:ascii="Times New Roman" w:hAnsi="Times New Roman"/>
          <w:color w:val="333333"/>
          <w:sz w:val="28"/>
        </w:rPr>
        <w:t xml:space="preserve">насоса </w:t>
      </w:r>
      <w:proofErr w:type="spellStart"/>
      <w:r>
        <w:rPr>
          <w:rFonts w:ascii="Times New Roman" w:hAnsi="Times New Roman"/>
          <w:color w:val="333333"/>
          <w:sz w:val="28"/>
        </w:rPr>
        <w:t>Vivoil</w:t>
      </w:r>
      <w:proofErr w:type="spellEnd"/>
      <w:r>
        <w:rPr>
          <w:rFonts w:ascii="Times New Roman" w:hAnsi="Times New Roman"/>
          <w:color w:val="333333"/>
          <w:sz w:val="28"/>
        </w:rPr>
        <w:t xml:space="preserve"> серии XP301 X3P7901ABBA</w:t>
      </w:r>
    </w:p>
    <w:p w:rsidR="003601BC" w:rsidRDefault="003601BC">
      <w:pPr>
        <w:pStyle w:val="a3"/>
        <w:spacing w:before="6"/>
        <w:rPr>
          <w:rFonts w:ascii="Times New Roman"/>
          <w:sz w:val="24"/>
        </w:rPr>
      </w:pPr>
    </w:p>
    <w:p w:rsidR="003601BC" w:rsidRDefault="002510A4">
      <w:pPr>
        <w:pStyle w:val="a3"/>
        <w:spacing w:line="242" w:lineRule="auto"/>
        <w:ind w:left="900" w:right="743"/>
      </w:pPr>
      <w:r>
        <w:rPr>
          <w:b/>
        </w:rPr>
        <w:t xml:space="preserve">Шестеренные насосы </w:t>
      </w:r>
      <w:r>
        <w:t xml:space="preserve">третьей группы имеют максимальный из четырех групп расход и рабочее давление. Третья группа шестеренных насосов используется в гидросистемах с большим расходом и в системах принудительного охлаждения масла. Эта группа наиболее востребована для установки в </w:t>
      </w:r>
      <w:r>
        <w:t xml:space="preserve">гидростанциях спецтехники. Шестеренные насосы 3-й группы часто используются в тандеме с аксиально-поршневыми или радиально-поршневыми насосами в системах </w:t>
      </w:r>
      <w:proofErr w:type="gramStart"/>
      <w:r>
        <w:t>высокого-низкого</w:t>
      </w:r>
      <w:proofErr w:type="gramEnd"/>
      <w:r>
        <w:t xml:space="preserve"> давления (H-L), а также применяется в системах охлаждения рабочей жидкости. Такая</w:t>
      </w:r>
    </w:p>
    <w:p w:rsidR="003601BC" w:rsidRDefault="002510A4">
      <w:pPr>
        <w:pStyle w:val="a3"/>
        <w:ind w:left="900" w:right="939"/>
      </w:pPr>
      <w:r>
        <w:t>ком</w:t>
      </w:r>
      <w:r>
        <w:t xml:space="preserve">поновка обеспечивает быстрое перемещение рабочего органа, при этом гидросистема не теряет в давлении и повышается </w:t>
      </w:r>
      <w:proofErr w:type="spellStart"/>
      <w:r>
        <w:t>энергоэффективность</w:t>
      </w:r>
      <w:proofErr w:type="spellEnd"/>
      <w:r>
        <w:t>, благодаря использованию маломощного электродвигателя.</w:t>
      </w:r>
    </w:p>
    <w:p w:rsidR="003601BC" w:rsidRDefault="002510A4">
      <w:pPr>
        <w:spacing w:line="201" w:lineRule="exact"/>
        <w:ind w:left="900"/>
        <w:rPr>
          <w:sz w:val="18"/>
        </w:rPr>
      </w:pPr>
      <w:r>
        <w:rPr>
          <w:b/>
          <w:sz w:val="18"/>
        </w:rPr>
        <w:t xml:space="preserve">Шестеренные насосы </w:t>
      </w:r>
      <w:r>
        <w:rPr>
          <w:sz w:val="18"/>
        </w:rPr>
        <w:t>обладают рядом преимуществ перед остальными вида</w:t>
      </w:r>
      <w:r>
        <w:rPr>
          <w:sz w:val="18"/>
        </w:rPr>
        <w:t>ми гидравлических насосов:</w:t>
      </w:r>
    </w:p>
    <w:p w:rsidR="003601BC" w:rsidRDefault="002510A4">
      <w:pPr>
        <w:pStyle w:val="a5"/>
        <w:numPr>
          <w:ilvl w:val="0"/>
          <w:numId w:val="1"/>
        </w:numPr>
        <w:tabs>
          <w:tab w:val="left" w:pos="1284"/>
          <w:tab w:val="left" w:pos="1285"/>
        </w:tabs>
        <w:spacing w:before="71"/>
        <w:rPr>
          <w:sz w:val="18"/>
        </w:rPr>
      </w:pPr>
      <w:r>
        <w:rPr>
          <w:sz w:val="18"/>
        </w:rPr>
        <w:t>простота конструкции обеспечивает надежность работы, простоту ремонта и</w:t>
      </w:r>
      <w:r>
        <w:rPr>
          <w:spacing w:val="-11"/>
          <w:sz w:val="18"/>
        </w:rPr>
        <w:t xml:space="preserve"> </w:t>
      </w:r>
      <w:r>
        <w:rPr>
          <w:sz w:val="18"/>
        </w:rPr>
        <w:t>обслуживания.</w:t>
      </w:r>
    </w:p>
    <w:p w:rsidR="003601BC" w:rsidRDefault="002510A4">
      <w:pPr>
        <w:pStyle w:val="a5"/>
        <w:numPr>
          <w:ilvl w:val="0"/>
          <w:numId w:val="1"/>
        </w:numPr>
        <w:tabs>
          <w:tab w:val="left" w:pos="1284"/>
          <w:tab w:val="left" w:pos="1285"/>
        </w:tabs>
        <w:rPr>
          <w:sz w:val="18"/>
        </w:rPr>
      </w:pPr>
      <w:r>
        <w:rPr>
          <w:sz w:val="18"/>
        </w:rPr>
        <w:t>шестеренные насосы имеют небольшой вес, что делает их более</w:t>
      </w:r>
      <w:r>
        <w:rPr>
          <w:spacing w:val="-11"/>
          <w:sz w:val="18"/>
        </w:rPr>
        <w:t xml:space="preserve"> </w:t>
      </w:r>
      <w:r>
        <w:rPr>
          <w:sz w:val="18"/>
        </w:rPr>
        <w:t>универсальными.</w:t>
      </w:r>
    </w:p>
    <w:p w:rsidR="003601BC" w:rsidRDefault="002510A4">
      <w:pPr>
        <w:pStyle w:val="a3"/>
        <w:spacing w:before="64" w:line="242" w:lineRule="auto"/>
        <w:ind w:left="900" w:right="894"/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2217420</wp:posOffset>
            </wp:positionH>
            <wp:positionV relativeFrom="paragraph">
              <wp:posOffset>494421</wp:posOffset>
            </wp:positionV>
            <wp:extent cx="3155590" cy="312696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5590" cy="3126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Шестеренные насосы </w:t>
      </w:r>
      <w:proofErr w:type="spellStart"/>
      <w:r>
        <w:t>Vivoil</w:t>
      </w:r>
      <w:proofErr w:type="spellEnd"/>
      <w:r>
        <w:t xml:space="preserve"> обладают высокой надежностью благодаря применению качественных материалов и современных технологий производства, а универсальная конструкция позволяет легко изменить направление вращения или превратить шестеренчатый насос </w:t>
      </w:r>
      <w:proofErr w:type="gramStart"/>
      <w:r>
        <w:t>в</w:t>
      </w:r>
      <w:proofErr w:type="gramEnd"/>
      <w:r>
        <w:t xml:space="preserve"> шестеренчатый </w:t>
      </w:r>
      <w:proofErr w:type="spellStart"/>
      <w:r>
        <w:t>гидромотор</w:t>
      </w:r>
      <w:proofErr w:type="spellEnd"/>
      <w:r>
        <w:t>.</w:t>
      </w:r>
    </w:p>
    <w:p w:rsidR="003601BC" w:rsidRDefault="003601BC">
      <w:pPr>
        <w:spacing w:line="242" w:lineRule="auto"/>
        <w:sectPr w:rsidR="003601BC">
          <w:type w:val="continuous"/>
          <w:pgSz w:w="11920" w:h="16850"/>
          <w:pgMar w:top="420" w:right="400" w:bottom="280" w:left="0" w:header="720" w:footer="720" w:gutter="0"/>
          <w:cols w:space="720"/>
        </w:sectPr>
      </w:pPr>
    </w:p>
    <w:p w:rsidR="002510A4" w:rsidRDefault="002510A4">
      <w:pPr>
        <w:pStyle w:val="1"/>
        <w:spacing w:before="42"/>
        <w:ind w:left="2600" w:right="2141"/>
        <w:jc w:val="center"/>
        <w:rPr>
          <w:color w:val="333333"/>
        </w:rPr>
      </w:pPr>
    </w:p>
    <w:p w:rsidR="002510A4" w:rsidRDefault="002510A4">
      <w:pPr>
        <w:pStyle w:val="1"/>
        <w:spacing w:before="42"/>
        <w:ind w:left="2600" w:right="2141"/>
        <w:jc w:val="center"/>
        <w:rPr>
          <w:color w:val="333333"/>
        </w:rPr>
      </w:pPr>
    </w:p>
    <w:p w:rsidR="002510A4" w:rsidRDefault="002510A4">
      <w:pPr>
        <w:pStyle w:val="1"/>
        <w:spacing w:before="42"/>
        <w:ind w:left="2600" w:right="2141"/>
        <w:jc w:val="center"/>
        <w:rPr>
          <w:color w:val="333333"/>
        </w:rPr>
      </w:pPr>
    </w:p>
    <w:p w:rsidR="002510A4" w:rsidRDefault="002510A4">
      <w:pPr>
        <w:pStyle w:val="1"/>
        <w:spacing w:before="42"/>
        <w:ind w:left="2600" w:right="2141"/>
        <w:jc w:val="center"/>
        <w:rPr>
          <w:color w:val="333333"/>
        </w:rPr>
      </w:pPr>
    </w:p>
    <w:p w:rsidR="002510A4" w:rsidRDefault="002510A4">
      <w:pPr>
        <w:pStyle w:val="1"/>
        <w:spacing w:before="42"/>
        <w:ind w:left="2600" w:right="2141"/>
        <w:jc w:val="center"/>
        <w:rPr>
          <w:color w:val="333333"/>
        </w:rPr>
      </w:pPr>
    </w:p>
    <w:p w:rsidR="003601BC" w:rsidRDefault="002510A4">
      <w:pPr>
        <w:pStyle w:val="1"/>
        <w:spacing w:before="42"/>
        <w:ind w:left="2600" w:right="2141"/>
        <w:jc w:val="center"/>
      </w:pPr>
      <w:r>
        <w:rPr>
          <w:color w:val="333333"/>
        </w:rPr>
        <w:t>Характеристики насоса:</w:t>
      </w:r>
    </w:p>
    <w:p w:rsidR="003601BC" w:rsidRDefault="002510A4">
      <w:pPr>
        <w:pStyle w:val="a3"/>
        <w:spacing w:before="9"/>
        <w:rPr>
          <w:rFonts w:ascii="Times New Roman"/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640544</wp:posOffset>
            </wp:positionH>
            <wp:positionV relativeFrom="paragraph">
              <wp:posOffset>184421</wp:posOffset>
            </wp:positionV>
            <wp:extent cx="6343513" cy="4149090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43513" cy="414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571500</wp:posOffset>
            </wp:positionH>
            <wp:positionV relativeFrom="paragraph">
              <wp:posOffset>4538489</wp:posOffset>
            </wp:positionV>
            <wp:extent cx="6449232" cy="1814798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9232" cy="1814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01BC" w:rsidRDefault="003601BC">
      <w:pPr>
        <w:pStyle w:val="a3"/>
        <w:spacing w:before="1"/>
        <w:rPr>
          <w:rFonts w:ascii="Times New Roman"/>
          <w:sz w:val="22"/>
        </w:rPr>
      </w:pPr>
    </w:p>
    <w:p w:rsidR="003601BC" w:rsidRDefault="003601BC">
      <w:pPr>
        <w:pStyle w:val="a3"/>
        <w:rPr>
          <w:i/>
          <w:sz w:val="20"/>
        </w:rPr>
      </w:pPr>
    </w:p>
    <w:p w:rsidR="003601BC" w:rsidRDefault="003601BC">
      <w:pPr>
        <w:pStyle w:val="a3"/>
        <w:rPr>
          <w:i/>
          <w:sz w:val="20"/>
        </w:rPr>
      </w:pPr>
    </w:p>
    <w:p w:rsidR="003601BC" w:rsidRDefault="003601BC">
      <w:pPr>
        <w:pStyle w:val="a3"/>
        <w:rPr>
          <w:i/>
          <w:sz w:val="20"/>
        </w:rPr>
      </w:pPr>
    </w:p>
    <w:p w:rsidR="003601BC" w:rsidRDefault="003601BC">
      <w:pPr>
        <w:pStyle w:val="a3"/>
        <w:rPr>
          <w:i/>
          <w:sz w:val="20"/>
        </w:rPr>
      </w:pPr>
    </w:p>
    <w:p w:rsidR="002510A4" w:rsidRDefault="002510A4">
      <w:pPr>
        <w:pStyle w:val="a3"/>
        <w:rPr>
          <w:i/>
          <w:sz w:val="20"/>
        </w:rPr>
      </w:pPr>
    </w:p>
    <w:p w:rsidR="002510A4" w:rsidRDefault="002510A4">
      <w:pPr>
        <w:pStyle w:val="a3"/>
        <w:rPr>
          <w:i/>
          <w:sz w:val="20"/>
        </w:rPr>
      </w:pPr>
    </w:p>
    <w:p w:rsidR="002510A4" w:rsidRDefault="002510A4">
      <w:pPr>
        <w:pStyle w:val="a3"/>
        <w:rPr>
          <w:i/>
          <w:sz w:val="20"/>
        </w:rPr>
      </w:pPr>
    </w:p>
    <w:p w:rsidR="002510A4" w:rsidRDefault="002510A4">
      <w:pPr>
        <w:pStyle w:val="a3"/>
        <w:rPr>
          <w:i/>
          <w:sz w:val="20"/>
        </w:rPr>
      </w:pPr>
    </w:p>
    <w:p w:rsidR="002510A4" w:rsidRDefault="002510A4">
      <w:pPr>
        <w:pStyle w:val="a3"/>
        <w:rPr>
          <w:i/>
          <w:sz w:val="20"/>
        </w:rPr>
      </w:pPr>
      <w:bookmarkStart w:id="0" w:name="_GoBack"/>
      <w:bookmarkEnd w:id="0"/>
    </w:p>
    <w:p w:rsidR="003601BC" w:rsidRDefault="003601BC">
      <w:pPr>
        <w:pStyle w:val="a3"/>
        <w:rPr>
          <w:i/>
          <w:sz w:val="20"/>
        </w:rPr>
      </w:pPr>
    </w:p>
    <w:p w:rsidR="003601BC" w:rsidRDefault="003601BC">
      <w:pPr>
        <w:pStyle w:val="a3"/>
        <w:rPr>
          <w:i/>
          <w:sz w:val="20"/>
        </w:rPr>
      </w:pPr>
    </w:p>
    <w:p w:rsidR="003601BC" w:rsidRDefault="003601BC">
      <w:pPr>
        <w:pStyle w:val="a3"/>
        <w:rPr>
          <w:i/>
          <w:sz w:val="20"/>
        </w:rPr>
      </w:pPr>
    </w:p>
    <w:p w:rsidR="003601BC" w:rsidRDefault="003601BC">
      <w:pPr>
        <w:pStyle w:val="a3"/>
        <w:rPr>
          <w:i/>
          <w:sz w:val="20"/>
        </w:rPr>
      </w:pPr>
    </w:p>
    <w:p w:rsidR="003601BC" w:rsidRDefault="002510A4">
      <w:pPr>
        <w:pStyle w:val="a3"/>
        <w:spacing w:before="9"/>
        <w:rPr>
          <w:i/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301752</wp:posOffset>
            </wp:positionH>
            <wp:positionV relativeFrom="paragraph">
              <wp:posOffset>154669</wp:posOffset>
            </wp:positionV>
            <wp:extent cx="6868280" cy="278892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8280" cy="278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601BC">
      <w:pgSz w:w="11920" w:h="16850"/>
      <w:pgMar w:top="0" w:right="4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568BC"/>
    <w:multiLevelType w:val="hybridMultilevel"/>
    <w:tmpl w:val="69A6938A"/>
    <w:lvl w:ilvl="0" w:tplc="A5D8D200">
      <w:numFmt w:val="bullet"/>
      <w:lvlText w:val=""/>
      <w:lvlJc w:val="left"/>
      <w:pPr>
        <w:ind w:left="1284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3D02BB6">
      <w:numFmt w:val="bullet"/>
      <w:lvlText w:val="•"/>
      <w:lvlJc w:val="left"/>
      <w:pPr>
        <w:ind w:left="2303" w:hanging="361"/>
      </w:pPr>
      <w:rPr>
        <w:rFonts w:hint="default"/>
        <w:lang w:val="ru-RU" w:eastAsia="en-US" w:bidi="ar-SA"/>
      </w:rPr>
    </w:lvl>
    <w:lvl w:ilvl="2" w:tplc="70DC3C76">
      <w:numFmt w:val="bullet"/>
      <w:lvlText w:val="•"/>
      <w:lvlJc w:val="left"/>
      <w:pPr>
        <w:ind w:left="3326" w:hanging="361"/>
      </w:pPr>
      <w:rPr>
        <w:rFonts w:hint="default"/>
        <w:lang w:val="ru-RU" w:eastAsia="en-US" w:bidi="ar-SA"/>
      </w:rPr>
    </w:lvl>
    <w:lvl w:ilvl="3" w:tplc="077C7974">
      <w:numFmt w:val="bullet"/>
      <w:lvlText w:val="•"/>
      <w:lvlJc w:val="left"/>
      <w:pPr>
        <w:ind w:left="4349" w:hanging="361"/>
      </w:pPr>
      <w:rPr>
        <w:rFonts w:hint="default"/>
        <w:lang w:val="ru-RU" w:eastAsia="en-US" w:bidi="ar-SA"/>
      </w:rPr>
    </w:lvl>
    <w:lvl w:ilvl="4" w:tplc="D2024CCA">
      <w:numFmt w:val="bullet"/>
      <w:lvlText w:val="•"/>
      <w:lvlJc w:val="left"/>
      <w:pPr>
        <w:ind w:left="5372" w:hanging="361"/>
      </w:pPr>
      <w:rPr>
        <w:rFonts w:hint="default"/>
        <w:lang w:val="ru-RU" w:eastAsia="en-US" w:bidi="ar-SA"/>
      </w:rPr>
    </w:lvl>
    <w:lvl w:ilvl="5" w:tplc="660088B4">
      <w:numFmt w:val="bullet"/>
      <w:lvlText w:val="•"/>
      <w:lvlJc w:val="left"/>
      <w:pPr>
        <w:ind w:left="6395" w:hanging="361"/>
      </w:pPr>
      <w:rPr>
        <w:rFonts w:hint="default"/>
        <w:lang w:val="ru-RU" w:eastAsia="en-US" w:bidi="ar-SA"/>
      </w:rPr>
    </w:lvl>
    <w:lvl w:ilvl="6" w:tplc="E950593A">
      <w:numFmt w:val="bullet"/>
      <w:lvlText w:val="•"/>
      <w:lvlJc w:val="left"/>
      <w:pPr>
        <w:ind w:left="7418" w:hanging="361"/>
      </w:pPr>
      <w:rPr>
        <w:rFonts w:hint="default"/>
        <w:lang w:val="ru-RU" w:eastAsia="en-US" w:bidi="ar-SA"/>
      </w:rPr>
    </w:lvl>
    <w:lvl w:ilvl="7" w:tplc="57D4F026">
      <w:numFmt w:val="bullet"/>
      <w:lvlText w:val="•"/>
      <w:lvlJc w:val="left"/>
      <w:pPr>
        <w:ind w:left="8441" w:hanging="361"/>
      </w:pPr>
      <w:rPr>
        <w:rFonts w:hint="default"/>
        <w:lang w:val="ru-RU" w:eastAsia="en-US" w:bidi="ar-SA"/>
      </w:rPr>
    </w:lvl>
    <w:lvl w:ilvl="8" w:tplc="698A3200">
      <w:numFmt w:val="bullet"/>
      <w:lvlText w:val="•"/>
      <w:lvlJc w:val="left"/>
      <w:pPr>
        <w:ind w:left="9464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601BC"/>
    <w:rsid w:val="002510A4"/>
    <w:rsid w:val="0036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pPr>
      <w:ind w:left="900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Title"/>
    <w:basedOn w:val="a"/>
    <w:uiPriority w:val="1"/>
    <w:qFormat/>
    <w:pPr>
      <w:ind w:left="2595" w:right="2141"/>
      <w:jc w:val="center"/>
    </w:pPr>
    <w:rPr>
      <w:b/>
      <w:bCs/>
      <w:i/>
      <w:sz w:val="28"/>
      <w:szCs w:val="28"/>
    </w:rPr>
  </w:style>
  <w:style w:type="paragraph" w:styleId="a5">
    <w:name w:val="List Paragraph"/>
    <w:basedOn w:val="a"/>
    <w:uiPriority w:val="1"/>
    <w:qFormat/>
    <w:pPr>
      <w:spacing w:before="67"/>
      <w:ind w:left="1284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2510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10A4"/>
    <w:rPr>
      <w:rFonts w:ascii="Tahoma" w:eastAsia="Arial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2019-12-18T11:00:00Z</dcterms:created>
  <dcterms:modified xsi:type="dcterms:W3CDTF">2019-12-18T11:02:00Z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2019-12-18T00:00:00Z</vt:filetime>
  </property>
</Properties>
</file>